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73"/>
        <w:gridCol w:w="1529"/>
        <w:gridCol w:w="6029"/>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0" w:hRule="atLeast"/>
        </w:trPr>
        <w:tc>
          <w:tcPr>
            <w:tcW w:w="5000" w:type="pct"/>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44"/>
                <w:szCs w:val="44"/>
                <w:u w:val="none"/>
                <w:lang w:val="en-US" w:eastAsia="zh-CN" w:bidi="ar"/>
              </w:rPr>
              <w:t>安徽省人工智能主题基金托管机构</w:t>
            </w:r>
            <w:r>
              <w:rPr>
                <w:rFonts w:hint="eastAsia" w:ascii="宋体" w:hAnsi="宋体" w:eastAsia="宋体" w:cs="宋体"/>
                <w:b/>
                <w:i w:val="0"/>
                <w:color w:val="000000"/>
                <w:kern w:val="0"/>
                <w:sz w:val="44"/>
                <w:szCs w:val="44"/>
                <w:u w:val="none"/>
                <w:lang w:val="en-US" w:eastAsia="zh-CN" w:bidi="ar"/>
              </w:rPr>
              <w:br w:type="textWrapping"/>
            </w:r>
            <w:r>
              <w:rPr>
                <w:rFonts w:hint="eastAsia" w:ascii="宋体" w:hAnsi="宋体" w:eastAsia="宋体" w:cs="宋体"/>
                <w:b/>
                <w:i w:val="0"/>
                <w:color w:val="000000"/>
                <w:kern w:val="0"/>
                <w:sz w:val="44"/>
                <w:szCs w:val="44"/>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720"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30"/>
                <w:szCs w:val="30"/>
                <w:u w:val="none"/>
              </w:rPr>
            </w:pPr>
            <w:r>
              <w:rPr>
                <w:rFonts w:hint="eastAsia" w:ascii="仿宋" w:hAnsi="仿宋" w:eastAsia="仿宋" w:cs="仿宋"/>
                <w:b/>
                <w:i w:val="0"/>
                <w:color w:val="000000"/>
                <w:kern w:val="0"/>
                <w:sz w:val="30"/>
                <w:szCs w:val="30"/>
                <w:u w:val="none"/>
                <w:lang w:val="en-US" w:eastAsia="zh-CN" w:bidi="ar"/>
              </w:rPr>
              <w:t>序号</w:t>
            </w:r>
          </w:p>
        </w:tc>
        <w:tc>
          <w:tcPr>
            <w:tcW w:w="9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0"/>
                <w:szCs w:val="30"/>
                <w:u w:val="none"/>
              </w:rPr>
            </w:pPr>
            <w:r>
              <w:rPr>
                <w:rFonts w:hint="eastAsia" w:ascii="仿宋" w:hAnsi="仿宋" w:eastAsia="仿宋" w:cs="仿宋"/>
                <w:b/>
                <w:i w:val="0"/>
                <w:color w:val="000000"/>
                <w:kern w:val="0"/>
                <w:sz w:val="30"/>
                <w:szCs w:val="30"/>
                <w:u w:val="none"/>
                <w:lang w:val="en-US" w:eastAsia="zh-CN" w:bidi="ar"/>
              </w:rPr>
              <w:t>评审因素</w:t>
            </w:r>
          </w:p>
        </w:tc>
        <w:tc>
          <w:tcPr>
            <w:tcW w:w="3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0"/>
                <w:szCs w:val="30"/>
                <w:u w:val="none"/>
              </w:rPr>
            </w:pPr>
            <w:r>
              <w:rPr>
                <w:rFonts w:hint="eastAsia" w:ascii="仿宋" w:hAnsi="仿宋" w:eastAsia="仿宋" w:cs="仿宋"/>
                <w:b/>
                <w:i w:val="0"/>
                <w:color w:val="000000"/>
                <w:kern w:val="0"/>
                <w:sz w:val="30"/>
                <w:szCs w:val="30"/>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720" w:hRule="atLeast"/>
        </w:trPr>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91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银行资产质量（10分）</w:t>
            </w:r>
          </w:p>
        </w:tc>
        <w:tc>
          <w:tcPr>
            <w:tcW w:w="3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1、资本充足率≥10% 得2分，资本充足率＜10%不得分。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72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3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2、不良贷款率≤2%得2分，不良贷款率＞2%不得分。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 w:type="pct"/>
          <w:trHeight w:val="72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3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highlight w:val="none"/>
                <w:u w:val="none"/>
                <w:lang w:val="en-US" w:eastAsia="zh-CN" w:bidi="ar"/>
              </w:rPr>
              <w:t>拨备覆盖率≥150%得2分，拨备覆盖率＜150%不得分。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 w:type="pct"/>
          <w:trHeight w:val="72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4"/>
                <w:szCs w:val="24"/>
                <w:highlight w:val="none"/>
                <w:u w:val="none"/>
              </w:rPr>
            </w:pPr>
          </w:p>
        </w:tc>
        <w:tc>
          <w:tcPr>
            <w:tcW w:w="3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0" w:leftChars="0" w:firstLine="0" w:firstLineChars="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流动性覆盖率≥90%得2分，流动性覆盖率＜90%不得分。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 w:type="pct"/>
          <w:trHeight w:val="72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4"/>
                <w:szCs w:val="24"/>
                <w:highlight w:val="none"/>
                <w:u w:val="none"/>
              </w:rPr>
            </w:pPr>
          </w:p>
        </w:tc>
        <w:tc>
          <w:tcPr>
            <w:tcW w:w="3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2"/>
              </w:numPr>
              <w:suppressLineNumbers w:val="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流动性比率（人民币）≥35%得2分，流动性比率（人民币）＜35%不得分。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72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4"/>
                <w:szCs w:val="24"/>
                <w:highlight w:val="none"/>
                <w:u w:val="none"/>
              </w:rPr>
            </w:pPr>
          </w:p>
        </w:tc>
        <w:tc>
          <w:tcPr>
            <w:tcW w:w="3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both"/>
              <w:textAlignment w:val="center"/>
              <w:rPr>
                <w:rFonts w:hint="eastAsia" w:ascii="仿宋" w:hAnsi="仿宋" w:cs="仿宋" w:eastAsiaTheme="minorEastAsia"/>
                <w:i w:val="0"/>
                <w:color w:val="000000"/>
                <w:sz w:val="24"/>
                <w:szCs w:val="24"/>
                <w:highlight w:val="none"/>
                <w:u w:val="none"/>
                <w:lang w:val="en-US" w:eastAsia="zh-CN"/>
              </w:rPr>
            </w:pPr>
            <w:r>
              <w:rPr>
                <w:rFonts w:hint="eastAsia" w:ascii="仿宋" w:hAnsi="仿宋" w:eastAsia="仿宋" w:cs="仿宋"/>
                <w:i w:val="0"/>
                <w:color w:val="000000"/>
                <w:kern w:val="0"/>
                <w:sz w:val="24"/>
                <w:szCs w:val="24"/>
                <w:highlight w:val="none"/>
                <w:u w:val="none"/>
                <w:lang w:val="en-US" w:eastAsia="zh-CN" w:bidi="ar"/>
              </w:rPr>
              <w:t>注：相关数据以申请单位总行2021年经注册会计师审计对外公布年报或审计报告为准。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 w:type="pct"/>
          <w:trHeight w:val="2180" w:hRule="atLeast"/>
        </w:trPr>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91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基金托管规模（15分）</w:t>
            </w:r>
          </w:p>
        </w:tc>
        <w:tc>
          <w:tcPr>
            <w:tcW w:w="3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根据申请单位截止2022年6月末私募基金托管规模由高到低排序得分。第一名得15分，后续名次，每递减1名，减少1分。如数值相同，按同档计分。注：（1）申请单位目前在托的私募投资基金，托管规模为基金实缴出资，统计口径不含公募基金、银行理财产品、证券公司资管、保险资产托管、信托计划、客户资金监管等。（2）申请单位托管规模是指托管户开立安徽省内营业机构的私募投资基金项目规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 w:type="pct"/>
          <w:trHeight w:val="72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61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注：申请单位需提供合同、协议的复印件或其他可供证明的文件，并加盖公章。所提供的证明材料，须明确显示托管基金的数额，否则不予认可。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72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61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 w:type="pct"/>
          <w:trHeight w:val="1240" w:hRule="atLeast"/>
        </w:trPr>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91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托管服务能力（15分）</w:t>
            </w:r>
          </w:p>
        </w:tc>
        <w:tc>
          <w:tcPr>
            <w:tcW w:w="3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3"/>
              </w:numPr>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申请单位内部设置托管业务部门，且有专门的服务团队的，得10分；未设置托管业务部门，但其他部门包含托管业务管理职责，有专门的服务团队的，得5分；未设置托管业务部门，且未明确托管业务管理职责的，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96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2、托管系统先进、便捷的，得5分；托管系统良好的，得4</w:t>
            </w:r>
            <w:bookmarkStart w:id="0" w:name="_GoBack"/>
            <w:bookmarkEnd w:id="0"/>
            <w:r>
              <w:rPr>
                <w:rFonts w:hint="eastAsia" w:ascii="仿宋" w:hAnsi="仿宋" w:eastAsia="仿宋" w:cs="仿宋"/>
                <w:i w:val="0"/>
                <w:color w:val="000000"/>
                <w:kern w:val="0"/>
                <w:sz w:val="24"/>
                <w:szCs w:val="24"/>
                <w:u w:val="none"/>
                <w:lang w:val="en-US" w:eastAsia="zh-CN" w:bidi="ar"/>
              </w:rPr>
              <w:t>-5分；资金管理模式一般的，得1-3分；未提及资金管理模式情况的，不得分。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 w:type="pct"/>
          <w:trHeight w:val="72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注：托管系统先进、便捷主要从转账安全性、稳定性、效率性、操作简便性、监控性等方面进行综合评价。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 w:type="pct"/>
          <w:trHeight w:val="1920" w:hRule="atLeast"/>
        </w:trPr>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1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风险控制能力（15分）</w:t>
            </w:r>
          </w:p>
        </w:tc>
        <w:tc>
          <w:tcPr>
            <w:tcW w:w="3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4"/>
              </w:numPr>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风险控制方案：深度符合基金安全性要求，内容全面、规范、针对性强的，得8-10分；较为符合基金安全性要求，内容较全面、较规范、针对性较强的，得5-7分；基本符合基金安全性要求，内容完整、针对性一般的，得2-4分；基本符合基金安全性要求，内容不太完整、针对性不强的，得0分；未提及风险控制情况的，不得分。本项目最高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 w:type="pct"/>
          <w:trHeight w:val="210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r>
              <w:rPr>
                <w:rFonts w:hint="eastAsia" w:ascii="仿宋" w:hAnsi="仿宋" w:eastAsia="仿宋" w:cs="仿宋"/>
                <w:i w:val="0"/>
                <w:color w:val="000000"/>
                <w:kern w:val="0"/>
                <w:sz w:val="24"/>
                <w:szCs w:val="24"/>
                <w:highlight w:val="none"/>
                <w:u w:val="none"/>
                <w:lang w:val="en-US" w:eastAsia="zh-CN" w:bidi="ar"/>
              </w:rPr>
              <w:t>人民银行合肥中心支行对商业银行综合考核评价：自2021年1月1日以来（以获奖时间为准），</w:t>
            </w:r>
            <w:r>
              <w:rPr>
                <w:rFonts w:hint="eastAsia" w:ascii="仿宋" w:hAnsi="仿宋" w:eastAsia="仿宋" w:cs="仿宋"/>
                <w:i w:val="0"/>
                <w:color w:val="auto"/>
                <w:kern w:val="0"/>
                <w:sz w:val="24"/>
                <w:szCs w:val="24"/>
                <w:highlight w:val="none"/>
                <w:u w:val="none"/>
                <w:lang w:val="en-US" w:eastAsia="zh-CN" w:bidi="ar"/>
              </w:rPr>
              <w:t>人民银行合肥中心支行对全省银行业金融机构执行人民银行有关政策规定情况进行的综合评价进行评分：1.评价为A的，每提供一个奖项得2.5分；2.评价为B的，每提供一个奖项得1分；3.未提供相关内容的不得分。注：同一年度获得多个考核结果的，不累计计分，仅按最高级别奖项计分一次。本项目最高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1240" w:hRule="atLeast"/>
        </w:trPr>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91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综合服务能力（35分）</w:t>
            </w:r>
          </w:p>
        </w:tc>
        <w:tc>
          <w:tcPr>
            <w:tcW w:w="3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5"/>
              </w:numPr>
              <w:suppressLineNumbers w:val="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各类银行定期存款、协定存款利率承诺</w:t>
            </w:r>
            <w:r>
              <w:rPr>
                <w:rFonts w:hint="eastAsia" w:ascii="仿宋" w:hAnsi="仿宋" w:eastAsia="仿宋" w:cs="仿宋"/>
                <w:b w:val="0"/>
                <w:bCs w:val="0"/>
                <w:i w:val="0"/>
                <w:color w:val="000000"/>
                <w:kern w:val="0"/>
                <w:sz w:val="24"/>
                <w:szCs w:val="24"/>
                <w:highlight w:val="none"/>
                <w:u w:val="none"/>
                <w:lang w:val="en-US" w:eastAsia="zh-CN" w:bidi="ar"/>
              </w:rPr>
              <w:t>（占15分）</w:t>
            </w:r>
            <w:r>
              <w:rPr>
                <w:rFonts w:hint="eastAsia" w:ascii="仿宋" w:hAnsi="仿宋" w:eastAsia="仿宋" w:cs="仿宋"/>
                <w:i w:val="0"/>
                <w:color w:val="000000"/>
                <w:kern w:val="0"/>
                <w:sz w:val="24"/>
                <w:szCs w:val="24"/>
                <w:highlight w:val="none"/>
                <w:u w:val="none"/>
                <w:lang w:val="en-US" w:eastAsia="zh-CN" w:bidi="ar"/>
              </w:rPr>
              <w:t>：申请人承诺按照全国市场利率定价自律机制委员会约定的上限对相应期限存款计息的，得1</w:t>
            </w:r>
            <w:r>
              <w:rPr>
                <w:rFonts w:hint="eastAsia" w:ascii="仿宋" w:hAnsi="仿宋" w:eastAsia="仿宋" w:cs="仿宋"/>
                <w:i w:val="0"/>
                <w:color w:val="auto"/>
                <w:kern w:val="0"/>
                <w:sz w:val="24"/>
                <w:szCs w:val="24"/>
                <w:highlight w:val="none"/>
                <w:u w:val="none"/>
                <w:lang w:val="en-US" w:eastAsia="zh-CN" w:bidi="ar"/>
              </w:rPr>
              <w:t>5分，未按上限承诺的，按承诺利率与上限利率的</w:t>
            </w:r>
            <w:r>
              <w:rPr>
                <w:rFonts w:hint="eastAsia" w:ascii="仿宋" w:hAnsi="仿宋" w:eastAsia="仿宋" w:cs="仿宋"/>
                <w:b w:val="0"/>
                <w:bCs w:val="0"/>
                <w:i w:val="0"/>
                <w:color w:val="auto"/>
                <w:kern w:val="0"/>
                <w:sz w:val="24"/>
                <w:szCs w:val="24"/>
                <w:highlight w:val="none"/>
                <w:u w:val="none"/>
                <w:lang w:val="en-US" w:eastAsia="zh-CN" w:bidi="ar"/>
              </w:rPr>
              <w:t>比例得分。申请文件中须提供承诺函（格式</w:t>
            </w:r>
            <w:r>
              <w:rPr>
                <w:rFonts w:hint="eastAsia" w:ascii="仿宋" w:hAnsi="仿宋" w:eastAsia="仿宋" w:cs="仿宋"/>
                <w:b w:val="0"/>
                <w:bCs w:val="0"/>
                <w:i w:val="0"/>
                <w:color w:val="000000"/>
                <w:kern w:val="0"/>
                <w:sz w:val="24"/>
                <w:szCs w:val="24"/>
                <w:highlight w:val="none"/>
                <w:u w:val="none"/>
                <w:lang w:val="en-US" w:eastAsia="zh-CN" w:bidi="ar"/>
              </w:rPr>
              <w:t>自</w:t>
            </w:r>
            <w:r>
              <w:rPr>
                <w:rFonts w:hint="eastAsia" w:ascii="仿宋" w:hAnsi="仿宋" w:eastAsia="仿宋" w:cs="仿宋"/>
                <w:i w:val="0"/>
                <w:color w:val="000000"/>
                <w:kern w:val="0"/>
                <w:sz w:val="24"/>
                <w:szCs w:val="24"/>
                <w:highlight w:val="none"/>
                <w:u w:val="none"/>
                <w:lang w:val="en-US" w:eastAsia="zh-CN" w:bidi="ar"/>
              </w:rPr>
              <w:t>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 w:type="pct"/>
          <w:trHeight w:val="124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3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2、托管费用报价（占5分）：申请单位报价托管费为0的，且所开账户涉及的转账手续费、网银手续费等费用全部减免得5分；收取托管费及手续费的，得0分。申请文件中须提供承诺函（格式自拟）。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 w:type="pct"/>
          <w:trHeight w:val="120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3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3、增值服务（占15分）：根据资金监管、募资服务、项目推介、投贷联动、与管理人开展业务战略合作等增值服务情况酌情打分，最高得15分。注：须提供针对本项目增值服务的相关承诺，并在服务方案中说明。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860" w:hRule="atLeast"/>
        </w:trPr>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91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安徽地方贡献能力（10分）</w:t>
            </w:r>
          </w:p>
        </w:tc>
        <w:tc>
          <w:tcPr>
            <w:tcW w:w="361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单位在2021年度安徽省内纳税金额：纳税金额最高的，得5分,后续名次，每递减1名，减少1分。注：（1）申请文件中须提供纳税金额证明材料的扫描件，未提供不得分。（2）申请单位纳税金额是指申请单位总行设立于安徽省行政区划范围内的下属营业机构的纳税金额总额，非在安徽省内的纳税额不予计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41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61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86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61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2021年1月1日以来（以获奖时间为准），依据安徽省政府部门对全省金融机构服务地方实体经济发展评价结果的通报进行评分：1.优秀，每获得一次得2.5分；2.良好，每获得一次得1分；3.未提供相关内容的不得分。注：同一年度获得多个考核结果的，不累计计分，仅按最高级别奖项计分一次。本项目最高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86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61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bl>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6872BB"/>
    <w:multiLevelType w:val="singleLevel"/>
    <w:tmpl w:val="CA6872BB"/>
    <w:lvl w:ilvl="0" w:tentative="0">
      <w:start w:val="3"/>
      <w:numFmt w:val="decimal"/>
      <w:suff w:val="nothing"/>
      <w:lvlText w:val="%1、"/>
      <w:lvlJc w:val="left"/>
    </w:lvl>
  </w:abstractNum>
  <w:abstractNum w:abstractNumId="1">
    <w:nsid w:val="0AE7D674"/>
    <w:multiLevelType w:val="singleLevel"/>
    <w:tmpl w:val="0AE7D674"/>
    <w:lvl w:ilvl="0" w:tentative="0">
      <w:start w:val="1"/>
      <w:numFmt w:val="decimal"/>
      <w:suff w:val="nothing"/>
      <w:lvlText w:val="%1、"/>
      <w:lvlJc w:val="left"/>
    </w:lvl>
  </w:abstractNum>
  <w:abstractNum w:abstractNumId="2">
    <w:nsid w:val="109E0213"/>
    <w:multiLevelType w:val="singleLevel"/>
    <w:tmpl w:val="109E0213"/>
    <w:lvl w:ilvl="0" w:tentative="0">
      <w:start w:val="1"/>
      <w:numFmt w:val="decimal"/>
      <w:suff w:val="nothing"/>
      <w:lvlText w:val="%1、"/>
      <w:lvlJc w:val="left"/>
    </w:lvl>
  </w:abstractNum>
  <w:abstractNum w:abstractNumId="3">
    <w:nsid w:val="3110A44A"/>
    <w:multiLevelType w:val="singleLevel"/>
    <w:tmpl w:val="3110A44A"/>
    <w:lvl w:ilvl="0" w:tentative="0">
      <w:start w:val="1"/>
      <w:numFmt w:val="decimal"/>
      <w:suff w:val="nothing"/>
      <w:lvlText w:val="%1、"/>
      <w:lvlJc w:val="left"/>
    </w:lvl>
  </w:abstractNum>
  <w:abstractNum w:abstractNumId="4">
    <w:nsid w:val="565FA3C7"/>
    <w:multiLevelType w:val="singleLevel"/>
    <w:tmpl w:val="565FA3C7"/>
    <w:lvl w:ilvl="0" w:tentative="0">
      <w:start w:val="5"/>
      <w:numFmt w:val="decimal"/>
      <w:suff w:val="nothing"/>
      <w:lvlText w:val="%1、"/>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34C39"/>
    <w:rsid w:val="02767B2E"/>
    <w:rsid w:val="04142944"/>
    <w:rsid w:val="05C22149"/>
    <w:rsid w:val="061B5459"/>
    <w:rsid w:val="076F503C"/>
    <w:rsid w:val="078D610D"/>
    <w:rsid w:val="09707542"/>
    <w:rsid w:val="0980646E"/>
    <w:rsid w:val="0988056A"/>
    <w:rsid w:val="0E163CCE"/>
    <w:rsid w:val="0FBE6AD6"/>
    <w:rsid w:val="16931190"/>
    <w:rsid w:val="16F8641D"/>
    <w:rsid w:val="1C95194D"/>
    <w:rsid w:val="1FBB055A"/>
    <w:rsid w:val="1FD463D6"/>
    <w:rsid w:val="22426251"/>
    <w:rsid w:val="24BC4E80"/>
    <w:rsid w:val="25D5603F"/>
    <w:rsid w:val="27E650FF"/>
    <w:rsid w:val="28C01657"/>
    <w:rsid w:val="29EF6B6B"/>
    <w:rsid w:val="32A512B4"/>
    <w:rsid w:val="32B41059"/>
    <w:rsid w:val="35743CDA"/>
    <w:rsid w:val="3CA746CF"/>
    <w:rsid w:val="3EF21793"/>
    <w:rsid w:val="4226780A"/>
    <w:rsid w:val="42FD7291"/>
    <w:rsid w:val="46CB166D"/>
    <w:rsid w:val="46D63F9A"/>
    <w:rsid w:val="47F22A2C"/>
    <w:rsid w:val="48AC527C"/>
    <w:rsid w:val="4E8E7C39"/>
    <w:rsid w:val="4FCC5B02"/>
    <w:rsid w:val="52BA3A36"/>
    <w:rsid w:val="54EF66B1"/>
    <w:rsid w:val="557673C1"/>
    <w:rsid w:val="57A74403"/>
    <w:rsid w:val="5838132F"/>
    <w:rsid w:val="585114FC"/>
    <w:rsid w:val="59D8001B"/>
    <w:rsid w:val="5A4205A3"/>
    <w:rsid w:val="5E6A5029"/>
    <w:rsid w:val="5E881B5B"/>
    <w:rsid w:val="5F205228"/>
    <w:rsid w:val="60913D95"/>
    <w:rsid w:val="6480355E"/>
    <w:rsid w:val="659F3935"/>
    <w:rsid w:val="69546BE1"/>
    <w:rsid w:val="6A840EF3"/>
    <w:rsid w:val="6AC31092"/>
    <w:rsid w:val="6C367590"/>
    <w:rsid w:val="6C623A6D"/>
    <w:rsid w:val="6F671A27"/>
    <w:rsid w:val="70562818"/>
    <w:rsid w:val="70EE1644"/>
    <w:rsid w:val="71440198"/>
    <w:rsid w:val="716A20CE"/>
    <w:rsid w:val="71AC3FDD"/>
    <w:rsid w:val="71FD6FD6"/>
    <w:rsid w:val="720E3C89"/>
    <w:rsid w:val="72C73B9A"/>
    <w:rsid w:val="785E1809"/>
    <w:rsid w:val="78E1275E"/>
    <w:rsid w:val="79A36C93"/>
    <w:rsid w:val="7AE10CCF"/>
    <w:rsid w:val="7B0E5C22"/>
    <w:rsid w:val="7B744B2B"/>
    <w:rsid w:val="7C1B22C4"/>
    <w:rsid w:val="7D125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character" w:customStyle="1" w:styleId="5">
    <w:name w:val="font51"/>
    <w:basedOn w:val="4"/>
    <w:qFormat/>
    <w:uiPriority w:val="0"/>
    <w:rPr>
      <w:rFonts w:hint="eastAsia" w:ascii="宋体" w:hAnsi="宋体" w:eastAsia="宋体" w:cs="宋体"/>
      <w:color w:val="000000"/>
      <w:sz w:val="24"/>
      <w:szCs w:val="24"/>
      <w:u w:val="none"/>
    </w:rPr>
  </w:style>
  <w:style w:type="character" w:customStyle="1" w:styleId="6">
    <w:name w:val="font61"/>
    <w:basedOn w:val="4"/>
    <w:qFormat/>
    <w:uiPriority w:val="0"/>
    <w:rPr>
      <w:rFonts w:hint="default" w:ascii="Times New Roman" w:hAnsi="Times New Roman" w:cs="Times New Roman"/>
      <w:color w:val="000000"/>
      <w:sz w:val="24"/>
      <w:szCs w:val="24"/>
      <w:u w:val="none"/>
    </w:rPr>
  </w:style>
  <w:style w:type="character" w:customStyle="1" w:styleId="7">
    <w:name w:val="font71"/>
    <w:basedOn w:val="4"/>
    <w:qFormat/>
    <w:uiPriority w:val="0"/>
    <w:rPr>
      <w:rFonts w:hint="eastAsia" w:ascii="宋体" w:hAnsi="宋体" w:eastAsia="宋体" w:cs="宋体"/>
      <w:color w:val="000000"/>
      <w:sz w:val="24"/>
      <w:szCs w:val="24"/>
      <w:u w:val="none"/>
    </w:rPr>
  </w:style>
  <w:style w:type="character" w:customStyle="1" w:styleId="8">
    <w:name w:val="font11"/>
    <w:basedOn w:val="4"/>
    <w:qFormat/>
    <w:uiPriority w:val="0"/>
    <w:rPr>
      <w:rFonts w:hint="eastAsia" w:ascii="宋体" w:hAnsi="宋体" w:eastAsia="宋体" w:cs="宋体"/>
      <w:color w:val="000000"/>
      <w:sz w:val="24"/>
      <w:szCs w:val="24"/>
      <w:u w:val="none"/>
    </w:rPr>
  </w:style>
  <w:style w:type="character" w:customStyle="1" w:styleId="9">
    <w:name w:val="font21"/>
    <w:basedOn w:val="4"/>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2022-09-29T08:48:00Z</dcterms:created>
  <dc:creator>HAZQ</dc:creator>
  <cp:lastModifiedBy>华安陈玲</cp:lastModifiedBy>
  <dcterms:modified xsi:type="dcterms:W3CDTF">2022-11-03T03:41:06Z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